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beforeLines="120" w:before="288" w:afterLines="120" w:after="288" w:line="360" w:lineRule="auto"/>
        <w:rPr>
          <w:rFonts w:ascii="Century Gothic" w:hAnsi="Century Gothic"/>
        </w:rPr>
      </w:pPr>
      <w:r>
        <w:rPr>
          <w:rFonts w:ascii="Century Gothic" w:hAnsi="Century Gothic"/>
          <w:b/>
        </w:rPr>
        <w:t>MEDIA RELEASE</w:t>
      </w:r>
      <w:r>
        <w:rPr>
          <w:rFonts w:ascii="Century Gothic" w:hAnsi="Century Gothic"/>
          <w:b/>
        </w:rPr>
        <w:br/>
      </w:r>
      <w:r>
        <w:rPr>
          <w:rFonts w:ascii="Century Gothic" w:hAnsi="Century Gothic"/>
          <w:i/>
        </w:rPr>
        <w:t>For immediate release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               November 2015 </w:t>
      </w:r>
    </w:p>
    <w:p>
      <w:pPr>
        <w:spacing w:beforeLines="120" w:before="288" w:afterLines="120" w:after="288" w:line="360" w:lineRule="auto"/>
        <w:jc w:val="center"/>
        <w:rPr>
          <w:rFonts w:ascii="AvantGarde" w:hAnsi="AvantGarde"/>
          <w:b/>
          <w:bCs/>
          <w:color w:val="012169"/>
          <w:sz w:val="24"/>
          <w:szCs w:val="24"/>
        </w:rPr>
      </w:pPr>
      <w:r>
        <w:rPr>
          <w:rFonts w:ascii="AvantGarde" w:hAnsi="AvantGarde"/>
          <w:b/>
          <w:bCs/>
          <w:color w:val="012169"/>
          <w:sz w:val="24"/>
          <w:szCs w:val="24"/>
        </w:rPr>
        <w:t>Blockbuster depreciation claims for winning bidders on The Block</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t>Analysis from Australia’s leading supplier of tax depreciation schedules suggests that investors could claim an average of over $</w:t>
      </w:r>
      <w:smartTag w:uri="mitelunifiedcommunicatorsmarttag/smarttagmodule" w:element="MySmartTag">
        <w:r>
          <w:rPr>
            <w:rFonts w:ascii="Century Gothic" w:hAnsi="Century Gothic"/>
            <w:color w:val="000000"/>
            <w:sz w:val="20"/>
            <w:szCs w:val="20"/>
            <w:lang w:val="en-US"/>
          </w:rPr>
          <w:t>1.5</w:t>
        </w:r>
      </w:smartTag>
      <w:r>
        <w:rPr>
          <w:rFonts w:ascii="Century Gothic" w:hAnsi="Century Gothic"/>
          <w:color w:val="000000"/>
          <w:sz w:val="20"/>
          <w:szCs w:val="20"/>
          <w:lang w:val="en-US"/>
        </w:rPr>
        <w:t xml:space="preserve"> million in depreciation deductions for each apartment on Channel</w:t>
      </w:r>
      <w:smartTag w:uri="mitelunifiedcommunicatorsmarttag/smarttagmodule" w:element="MySmartTag">
        <w:r>
          <w:rPr>
            <w:rFonts w:ascii="Century Gothic" w:hAnsi="Century Gothic"/>
            <w:color w:val="000000"/>
            <w:sz w:val="20"/>
            <w:szCs w:val="20"/>
            <w:lang w:val="en-US"/>
          </w:rPr>
          <w:t xml:space="preserve"> 9</w:t>
        </w:r>
      </w:smartTag>
      <w:r>
        <w:rPr>
          <w:rFonts w:ascii="Century Gothic" w:hAnsi="Century Gothic"/>
          <w:color w:val="000000"/>
          <w:sz w:val="20"/>
          <w:szCs w:val="20"/>
          <w:lang w:val="en-US"/>
        </w:rPr>
        <w:t xml:space="preserve">’s </w:t>
      </w:r>
      <w:r>
        <w:rPr>
          <w:rFonts w:ascii="Century Gothic" w:hAnsi="Century Gothic"/>
          <w:i/>
          <w:color w:val="000000"/>
          <w:sz w:val="20"/>
          <w:szCs w:val="20"/>
          <w:lang w:val="en-US"/>
        </w:rPr>
        <w:t xml:space="preserve">The Block: </w:t>
      </w:r>
      <w:proofErr w:type="spellStart"/>
      <w:r>
        <w:rPr>
          <w:rFonts w:ascii="Century Gothic" w:hAnsi="Century Gothic"/>
          <w:i/>
          <w:color w:val="000000"/>
          <w:sz w:val="20"/>
          <w:szCs w:val="20"/>
          <w:lang w:val="en-US"/>
        </w:rPr>
        <w:t>Blocktagon</w:t>
      </w:r>
      <w:proofErr w:type="spellEnd"/>
      <w:r>
        <w:rPr>
          <w:rFonts w:ascii="Century Gothic" w:hAnsi="Century Gothic"/>
          <w:i/>
          <w:color w:val="000000"/>
          <w:sz w:val="20"/>
          <w:szCs w:val="20"/>
          <w:lang w:val="en-US"/>
        </w:rPr>
        <w:t>.</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t>According to estimates provided by BMT Tax Depreciation, Dean and Shay’s penthouse apartment has the highest amount of depreciation deductions available, with a minimum of $</w:t>
      </w:r>
      <w:smartTag w:uri="mitelunifiedcommunicatorsmarttag/smarttagmodule" w:element="MySmartTag">
        <w:r>
          <w:rPr>
            <w:rFonts w:ascii="Century Gothic" w:hAnsi="Century Gothic"/>
            <w:color w:val="000000"/>
            <w:sz w:val="20"/>
            <w:szCs w:val="20"/>
            <w:lang w:val="en-US"/>
          </w:rPr>
          <w:t>62</w:t>
        </w:r>
      </w:smartTag>
      <w:r>
        <w:rPr>
          <w:rFonts w:ascii="Century Gothic" w:hAnsi="Century Gothic"/>
          <w:color w:val="000000"/>
          <w:sz w:val="20"/>
          <w:szCs w:val="20"/>
          <w:lang w:val="en-US"/>
        </w:rPr>
        <w:t>,</w:t>
      </w:r>
      <w:smartTag w:uri="mitelunifiedcommunicatorsmarttag/smarttagmodule" w:element="MySmartTag">
        <w:r>
          <w:rPr>
            <w:rFonts w:ascii="Century Gothic" w:hAnsi="Century Gothic"/>
            <w:color w:val="000000"/>
            <w:sz w:val="20"/>
            <w:szCs w:val="20"/>
            <w:lang w:val="en-US"/>
          </w:rPr>
          <w:t>735</w:t>
        </w:r>
      </w:smartTag>
      <w:r>
        <w:rPr>
          <w:rFonts w:ascii="Century Gothic" w:hAnsi="Century Gothic"/>
          <w:color w:val="000000"/>
          <w:sz w:val="20"/>
          <w:szCs w:val="20"/>
          <w:lang w:val="en-US"/>
        </w:rPr>
        <w:t xml:space="preserve"> that could be claimed in the first year and $</w:t>
      </w:r>
      <w:smartTag w:uri="mitelunifiedcommunicatorsmarttag/smarttagmodule" w:element="MySmartTag">
        <w:r>
          <w:rPr>
            <w:rFonts w:ascii="Century Gothic" w:hAnsi="Century Gothic"/>
            <w:color w:val="000000"/>
            <w:sz w:val="20"/>
            <w:szCs w:val="20"/>
            <w:lang w:val="en-US"/>
          </w:rPr>
          <w:t>1</w:t>
        </w:r>
      </w:smartTag>
      <w:r>
        <w:rPr>
          <w:rFonts w:ascii="Century Gothic" w:hAnsi="Century Gothic"/>
          <w:color w:val="000000"/>
          <w:sz w:val="20"/>
          <w:szCs w:val="20"/>
          <w:lang w:val="en-US"/>
        </w:rPr>
        <w:t>,</w:t>
      </w:r>
      <w:smartTag w:uri="mitelunifiedcommunicatorsmarttag/smarttagmodule" w:element="MySmartTag">
        <w:r>
          <w:rPr>
            <w:rFonts w:ascii="Century Gothic" w:hAnsi="Century Gothic"/>
            <w:color w:val="000000"/>
            <w:sz w:val="20"/>
            <w:szCs w:val="20"/>
            <w:lang w:val="en-US"/>
          </w:rPr>
          <w:t>621</w:t>
        </w:r>
      </w:smartTag>
      <w:r>
        <w:rPr>
          <w:rFonts w:ascii="Century Gothic" w:hAnsi="Century Gothic"/>
          <w:color w:val="000000"/>
          <w:sz w:val="20"/>
          <w:szCs w:val="20"/>
          <w:lang w:val="en-US"/>
        </w:rPr>
        <w:t>,</w:t>
      </w:r>
      <w:smartTag w:uri="mitelunifiedcommunicatorsmarttag/smarttagmodule" w:element="MySmartTag">
        <w:r>
          <w:rPr>
            <w:rFonts w:ascii="Century Gothic" w:hAnsi="Century Gothic"/>
            <w:color w:val="000000"/>
            <w:sz w:val="20"/>
            <w:szCs w:val="20"/>
            <w:lang w:val="en-US"/>
          </w:rPr>
          <w:t>688</w:t>
        </w:r>
      </w:smartTag>
      <w:r>
        <w:rPr>
          <w:rFonts w:ascii="Century Gothic" w:hAnsi="Century Gothic"/>
          <w:color w:val="000000"/>
          <w:sz w:val="20"/>
          <w:szCs w:val="20"/>
          <w:lang w:val="en-US"/>
        </w:rPr>
        <w:t xml:space="preserve"> over the specified lifetime of the property.</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t>Luke and Ebony’s apartment</w:t>
      </w:r>
      <w:smartTag w:uri="mitelunifiedcommunicatorsmarttag/smarttagmodule" w:element="MySmartTag">
        <w:r>
          <w:rPr>
            <w:rFonts w:ascii="Century Gothic" w:hAnsi="Century Gothic"/>
            <w:color w:val="000000"/>
            <w:sz w:val="20"/>
            <w:szCs w:val="20"/>
            <w:lang w:val="en-US"/>
          </w:rPr>
          <w:t xml:space="preserve"> 5/1</w:t>
        </w:r>
      </w:smartTag>
      <w:r>
        <w:rPr>
          <w:rFonts w:ascii="Century Gothic" w:hAnsi="Century Gothic"/>
          <w:color w:val="000000"/>
          <w:sz w:val="20"/>
          <w:szCs w:val="20"/>
          <w:lang w:val="en-US"/>
        </w:rPr>
        <w:t xml:space="preserve">A Affleck Street South </w:t>
      </w:r>
      <w:proofErr w:type="spellStart"/>
      <w:r>
        <w:rPr>
          <w:rFonts w:ascii="Century Gothic" w:hAnsi="Century Gothic"/>
          <w:color w:val="000000"/>
          <w:sz w:val="20"/>
          <w:szCs w:val="20"/>
          <w:lang w:val="en-US"/>
        </w:rPr>
        <w:t>Yarra</w:t>
      </w:r>
      <w:proofErr w:type="spellEnd"/>
      <w:r>
        <w:rPr>
          <w:rFonts w:ascii="Century Gothic" w:hAnsi="Century Gothic"/>
          <w:color w:val="000000"/>
          <w:sz w:val="20"/>
          <w:szCs w:val="20"/>
          <w:lang w:val="en-US"/>
        </w:rPr>
        <w:t xml:space="preserve"> has the second highest amount of total minimum depreciation deductions available at $</w:t>
      </w:r>
      <w:smartTag w:uri="mitelunifiedcommunicatorsmarttag/smarttagmodule" w:element="MySmartTag">
        <w:r>
          <w:rPr>
            <w:rFonts w:ascii="Century Gothic" w:hAnsi="Century Gothic"/>
            <w:color w:val="000000"/>
            <w:sz w:val="20"/>
            <w:szCs w:val="20"/>
            <w:lang w:val="en-US"/>
          </w:rPr>
          <w:t>1</w:t>
        </w:r>
      </w:smartTag>
      <w:r>
        <w:rPr>
          <w:rFonts w:ascii="Century Gothic" w:hAnsi="Century Gothic"/>
          <w:color w:val="000000"/>
          <w:sz w:val="20"/>
          <w:szCs w:val="20"/>
          <w:lang w:val="en-US"/>
        </w:rPr>
        <w:t>,</w:t>
      </w:r>
      <w:smartTag w:uri="mitelunifiedcommunicatorsmarttag/smarttagmodule" w:element="MySmartTag">
        <w:r>
          <w:rPr>
            <w:rFonts w:ascii="Century Gothic" w:hAnsi="Century Gothic"/>
            <w:color w:val="000000"/>
            <w:sz w:val="20"/>
            <w:szCs w:val="20"/>
            <w:lang w:val="en-US"/>
          </w:rPr>
          <w:t>600</w:t>
        </w:r>
      </w:smartTag>
      <w:r>
        <w:rPr>
          <w:rFonts w:ascii="Century Gothic" w:hAnsi="Century Gothic"/>
          <w:color w:val="000000"/>
          <w:sz w:val="20"/>
          <w:szCs w:val="20"/>
          <w:lang w:val="en-US"/>
        </w:rPr>
        <w:t>,</w:t>
      </w:r>
      <w:smartTag w:uri="mitelunifiedcommunicatorsmarttag/smarttagmodule" w:element="MySmartTag">
        <w:r>
          <w:rPr>
            <w:rFonts w:ascii="Century Gothic" w:hAnsi="Century Gothic"/>
            <w:color w:val="000000"/>
            <w:sz w:val="20"/>
            <w:szCs w:val="20"/>
            <w:lang w:val="en-US"/>
          </w:rPr>
          <w:t>297</w:t>
        </w:r>
      </w:smartTag>
      <w:r>
        <w:rPr>
          <w:rFonts w:ascii="Century Gothic" w:hAnsi="Century Gothic"/>
          <w:color w:val="000000"/>
          <w:sz w:val="20"/>
          <w:szCs w:val="20"/>
          <w:lang w:val="en-US"/>
        </w:rPr>
        <w:t>.</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t xml:space="preserve">“As the property with the highest amount of total depreciation deductions available, Dean and Shay’s apartment may prove attractive to sophisticated investors,” said </w:t>
      </w:r>
      <w:smartTag w:uri="mitelunifiedcommunicatorsmarttag/smarttagmodule" w:element="MySmartTag">
        <w:r>
          <w:rPr>
            <w:rFonts w:ascii="Century Gothic" w:hAnsi="Century Gothic"/>
            <w:color w:val="000000"/>
            <w:sz w:val="20"/>
            <w:szCs w:val="20"/>
            <w:lang w:val="en-US"/>
          </w:rPr>
          <w:t>Bradley Beer</w:t>
        </w:r>
      </w:smartTag>
      <w:r>
        <w:rPr>
          <w:rFonts w:ascii="Century Gothic" w:hAnsi="Century Gothic"/>
          <w:color w:val="000000"/>
          <w:sz w:val="20"/>
          <w:szCs w:val="20"/>
          <w:lang w:val="en-US"/>
        </w:rPr>
        <w:t>, CEO of BMT Tax Depreciation.</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t xml:space="preserve">“While there are many factors that will decide which apartment achieves the highest price, the additional cash flow astute property investors receive from depreciation will assist them when crunching their numbers to make purchase decisions.   </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t xml:space="preserve">“While Dean and Shay look to be the clear winners in terms of unlocked depreciation value - it’s a very close field,” said </w:t>
      </w:r>
      <w:smartTag w:uri="mitelunifiedcommunicatorsmarttag/smarttagmodule" w:element="MySmartTag">
        <w:r>
          <w:rPr>
            <w:rFonts w:ascii="Century Gothic" w:hAnsi="Century Gothic"/>
            <w:color w:val="000000"/>
            <w:sz w:val="20"/>
            <w:szCs w:val="20"/>
            <w:lang w:val="en-US"/>
          </w:rPr>
          <w:t>Brad Beer</w:t>
        </w:r>
      </w:smartTag>
      <w:r>
        <w:rPr>
          <w:rFonts w:ascii="Century Gothic" w:hAnsi="Century Gothic"/>
          <w:color w:val="000000"/>
          <w:sz w:val="20"/>
          <w:szCs w:val="20"/>
          <w:lang w:val="en-US"/>
        </w:rPr>
        <w:t xml:space="preserve">. </w:t>
      </w:r>
    </w:p>
    <w:p>
      <w:pPr>
        <w:spacing w:before="0" w:after="0"/>
        <w:rPr>
          <w:rFonts w:ascii="Century Gothic" w:hAnsi="Century Gothic"/>
          <w:color w:val="000000"/>
          <w:sz w:val="20"/>
          <w:szCs w:val="20"/>
          <w:lang w:val="en-US"/>
        </w:rPr>
      </w:pPr>
      <w:r>
        <w:rPr>
          <w:rFonts w:ascii="Century Gothic" w:hAnsi="Century Gothic"/>
          <w:color w:val="000000"/>
          <w:sz w:val="20"/>
          <w:szCs w:val="20"/>
          <w:lang w:val="en-US"/>
        </w:rPr>
        <w:br w:type="page"/>
      </w:r>
    </w:p>
    <w:p>
      <w:pPr>
        <w:spacing w:line="360" w:lineRule="auto"/>
        <w:rPr>
          <w:rFonts w:ascii="Century Gothic" w:hAnsi="Century Gothic"/>
          <w:color w:val="000000"/>
          <w:sz w:val="20"/>
          <w:szCs w:val="20"/>
          <w:lang w:val="en-US"/>
        </w:rPr>
      </w:pPr>
      <w:r>
        <w:rPr>
          <w:noProof/>
          <w:color w:val="000000"/>
          <w:lang w:eastAsia="en-AU"/>
        </w:rPr>
        <w:lastRenderedPageBreak/>
        <w:drawing>
          <wp:anchor distT="0" distB="0" distL="114300" distR="114300" simplePos="0" relativeHeight="251658240" behindDoc="0" locked="0" layoutInCell="1" allowOverlap="1">
            <wp:simplePos x="0" y="0"/>
            <wp:positionH relativeFrom="column">
              <wp:posOffset>394335</wp:posOffset>
            </wp:positionH>
            <wp:positionV relativeFrom="paragraph">
              <wp:posOffset>678180</wp:posOffset>
            </wp:positionV>
            <wp:extent cx="5234940" cy="3503930"/>
            <wp:effectExtent l="0" t="0" r="381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_TA453_ZMM Group"/>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34940" cy="350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000000"/>
          <w:sz w:val="20"/>
          <w:szCs w:val="20"/>
          <w:lang w:val="en-US"/>
        </w:rPr>
        <w:t xml:space="preserve">Below is a summary of the depreciation estimates BMT Tax Depreciation found for all five apartments after conducting a site inspection and providing their analysis of the potential deductions investors can claim once the properties are income </w:t>
      </w:r>
      <w:proofErr w:type="gramStart"/>
      <w:r>
        <w:rPr>
          <w:rFonts w:ascii="Century Gothic" w:hAnsi="Century Gothic"/>
          <w:color w:val="000000"/>
          <w:sz w:val="20"/>
          <w:szCs w:val="20"/>
          <w:lang w:val="en-US"/>
        </w:rPr>
        <w:t>producing.</w:t>
      </w:r>
      <w:proofErr w:type="gramEnd"/>
    </w:p>
    <w:p>
      <w:pPr>
        <w:spacing w:line="360" w:lineRule="auto"/>
        <w:rPr>
          <w:rFonts w:ascii="Century Gothic" w:hAnsi="Century Gothic"/>
          <w:color w:val="000000"/>
          <w:sz w:val="20"/>
          <w:szCs w:val="20"/>
          <w:lang w:val="en-US"/>
        </w:rPr>
      </w:pPr>
    </w:p>
    <w:p>
      <w:pPr>
        <w:spacing w:after="120" w:line="360" w:lineRule="auto"/>
        <w:rPr>
          <w:rFonts w:ascii="Century Gothic" w:hAnsi="Century Gothic"/>
          <w:color w:val="000000"/>
          <w:sz w:val="20"/>
          <w:szCs w:val="20"/>
          <w:lang w:val="en-US"/>
        </w:rPr>
      </w:pPr>
      <w:r>
        <w:rPr>
          <w:rFonts w:ascii="Century Gothic" w:hAnsi="Century Gothic"/>
          <w:color w:val="000000"/>
          <w:sz w:val="20"/>
          <w:szCs w:val="20"/>
          <w:lang w:val="en-US"/>
        </w:rPr>
        <w:t xml:space="preserve">The South </w:t>
      </w:r>
      <w:proofErr w:type="spellStart"/>
      <w:r>
        <w:rPr>
          <w:rFonts w:ascii="Century Gothic" w:hAnsi="Century Gothic"/>
          <w:color w:val="000000"/>
          <w:sz w:val="20"/>
          <w:szCs w:val="20"/>
          <w:lang w:val="en-US"/>
        </w:rPr>
        <w:t>Yarra</w:t>
      </w:r>
      <w:proofErr w:type="spellEnd"/>
      <w:r>
        <w:rPr>
          <w:rFonts w:ascii="Century Gothic" w:hAnsi="Century Gothic"/>
          <w:color w:val="000000"/>
          <w:sz w:val="20"/>
          <w:szCs w:val="20"/>
          <w:lang w:val="en-US"/>
        </w:rPr>
        <w:t xml:space="preserve"> property, originally a</w:t>
      </w:r>
      <w:smartTag w:uri="mitelunifiedcommunicatorsmarttag/smarttagmodule" w:element="MySmartTag">
        <w:r>
          <w:rPr>
            <w:rFonts w:ascii="Century Gothic" w:hAnsi="Century Gothic"/>
            <w:color w:val="000000"/>
            <w:sz w:val="20"/>
            <w:szCs w:val="20"/>
            <w:lang w:val="en-US"/>
          </w:rPr>
          <w:t xml:space="preserve"> 34</w:t>
        </w:r>
      </w:smartTag>
      <w:r>
        <w:rPr>
          <w:rFonts w:ascii="Century Gothic" w:hAnsi="Century Gothic"/>
          <w:color w:val="000000"/>
          <w:sz w:val="20"/>
          <w:szCs w:val="20"/>
          <w:lang w:val="en-US"/>
        </w:rPr>
        <w:t xml:space="preserve"> room hotel, was reportedly purchased by The Block’s production company for $</w:t>
      </w:r>
      <w:smartTag w:uri="mitelunifiedcommunicatorsmarttag/smarttagmodule" w:element="MySmartTag">
        <w:r>
          <w:rPr>
            <w:rFonts w:ascii="Century Gothic" w:hAnsi="Century Gothic"/>
            <w:color w:val="000000"/>
            <w:sz w:val="20"/>
            <w:szCs w:val="20"/>
            <w:lang w:val="en-US"/>
          </w:rPr>
          <w:t>6.25</w:t>
        </w:r>
      </w:smartTag>
      <w:r>
        <w:rPr>
          <w:rFonts w:ascii="Century Gothic" w:hAnsi="Century Gothic"/>
          <w:color w:val="000000"/>
          <w:sz w:val="20"/>
          <w:szCs w:val="20"/>
          <w:lang w:val="en-US"/>
        </w:rPr>
        <w:t xml:space="preserve"> million in</w:t>
      </w:r>
      <w:smartTag w:uri="mitelunifiedcommunicatorsmarttag/smarttagmodule" w:element="MySmartTag">
        <w:r>
          <w:rPr>
            <w:rFonts w:ascii="Century Gothic" w:hAnsi="Century Gothic"/>
            <w:color w:val="000000"/>
            <w:sz w:val="20"/>
            <w:szCs w:val="20"/>
            <w:lang w:val="en-US"/>
          </w:rPr>
          <w:t xml:space="preserve"> 2014</w:t>
        </w:r>
      </w:smartTag>
      <w:r>
        <w:rPr>
          <w:rFonts w:ascii="Century Gothic" w:hAnsi="Century Gothic"/>
          <w:color w:val="000000"/>
          <w:sz w:val="20"/>
          <w:szCs w:val="20"/>
          <w:lang w:val="en-US"/>
        </w:rPr>
        <w:t xml:space="preserve">. The building has undergone an extensive renovation on the show and when finished will be home to five luxury apartments. </w:t>
      </w:r>
    </w:p>
    <w:p>
      <w:pPr>
        <w:spacing w:after="120" w:line="360" w:lineRule="auto"/>
        <w:rPr>
          <w:rFonts w:ascii="Century Gothic" w:hAnsi="Century Gothic"/>
          <w:color w:val="000000"/>
          <w:sz w:val="20"/>
          <w:szCs w:val="20"/>
          <w:lang w:val="en-US"/>
        </w:rPr>
      </w:pPr>
      <w:smartTag w:uri="mitelunifiedcommunicatorsmarttag/smarttagmodule" w:element="MySmartTag">
        <w:r>
          <w:rPr>
            <w:rFonts w:ascii="Century Gothic" w:hAnsi="Century Gothic"/>
            <w:color w:val="000000"/>
            <w:sz w:val="20"/>
            <w:szCs w:val="20"/>
            <w:lang w:val="en-US"/>
          </w:rPr>
          <w:t>Bradley Beer</w:t>
        </w:r>
      </w:smartTag>
      <w:r>
        <w:rPr>
          <w:rFonts w:ascii="Century Gothic" w:hAnsi="Century Gothic"/>
          <w:color w:val="000000"/>
          <w:sz w:val="20"/>
          <w:szCs w:val="20"/>
          <w:lang w:val="en-US"/>
        </w:rPr>
        <w:t xml:space="preserve"> will appear on the show on the</w:t>
      </w:r>
      <w:smartTag w:uri="mitelunifiedcommunicatorsmarttag/smarttagmodule" w:element="MySmartTag">
        <w:r>
          <w:rPr>
            <w:rFonts w:ascii="Century Gothic" w:hAnsi="Century Gothic"/>
            <w:color w:val="000000"/>
            <w:sz w:val="20"/>
            <w:szCs w:val="20"/>
            <w:lang w:val="en-US"/>
          </w:rPr>
          <w:t xml:space="preserve"> 17</w:t>
        </w:r>
      </w:smartTag>
      <w:r>
        <w:rPr>
          <w:rFonts w:ascii="Century Gothic" w:hAnsi="Century Gothic"/>
          <w:color w:val="000000"/>
          <w:sz w:val="20"/>
          <w:szCs w:val="20"/>
          <w:vertAlign w:val="superscript"/>
          <w:lang w:val="en-US"/>
        </w:rPr>
        <w:t>th</w:t>
      </w:r>
      <w:r>
        <w:rPr>
          <w:rFonts w:ascii="Century Gothic" w:hAnsi="Century Gothic"/>
          <w:color w:val="000000"/>
          <w:sz w:val="20"/>
          <w:szCs w:val="20"/>
          <w:lang w:val="en-US"/>
        </w:rPr>
        <w:t xml:space="preserve"> of November</w:t>
      </w:r>
      <w:smartTag w:uri="mitelunifiedcommunicatorsmarttag/smarttagmodule" w:element="MySmartTag">
        <w:r>
          <w:rPr>
            <w:rFonts w:ascii="Century Gothic" w:hAnsi="Century Gothic"/>
            <w:color w:val="000000"/>
            <w:sz w:val="20"/>
            <w:szCs w:val="20"/>
            <w:lang w:val="en-US"/>
          </w:rPr>
          <w:t xml:space="preserve"> 2015</w:t>
        </w:r>
      </w:smartTag>
      <w:r>
        <w:rPr>
          <w:rFonts w:ascii="Century Gothic" w:hAnsi="Century Gothic"/>
          <w:color w:val="000000"/>
          <w:sz w:val="20"/>
          <w:szCs w:val="20"/>
          <w:lang w:val="en-US"/>
        </w:rPr>
        <w:t xml:space="preserve"> to share his expert knowledge with the contestants regarding depreciation deductions for their properties.</w:t>
      </w:r>
    </w:p>
    <w:p>
      <w:pPr>
        <w:spacing w:after="120" w:line="360" w:lineRule="auto"/>
        <w:rPr>
          <w:rFonts w:ascii="Century Gothic" w:hAnsi="Century Gothic"/>
          <w:color w:val="000000"/>
          <w:sz w:val="20"/>
          <w:szCs w:val="20"/>
          <w:lang w:val="en-US"/>
        </w:rPr>
      </w:pPr>
      <w:r>
        <w:rPr>
          <w:rFonts w:ascii="Century Gothic" w:hAnsi="Century Gothic"/>
          <w:color w:val="000000"/>
          <w:sz w:val="20"/>
          <w:szCs w:val="20"/>
          <w:lang w:val="en-US"/>
        </w:rPr>
        <w:t xml:space="preserve">Quantity Surveyors are one of the few professionals </w:t>
      </w:r>
      <w:proofErr w:type="spellStart"/>
      <w:r>
        <w:rPr>
          <w:rFonts w:ascii="Century Gothic" w:hAnsi="Century Gothic"/>
          <w:color w:val="000000"/>
          <w:sz w:val="20"/>
          <w:szCs w:val="20"/>
          <w:lang w:val="en-US"/>
        </w:rPr>
        <w:t>recognised</w:t>
      </w:r>
      <w:proofErr w:type="spellEnd"/>
      <w:r>
        <w:rPr>
          <w:rFonts w:ascii="Century Gothic" w:hAnsi="Century Gothic"/>
          <w:color w:val="000000"/>
          <w:sz w:val="20"/>
          <w:szCs w:val="20"/>
          <w:lang w:val="en-US"/>
        </w:rPr>
        <w:t xml:space="preserve"> by the Australian Taxation Office as having the appropriate construction costing skills required to estimate building costs for d</w:t>
      </w:r>
      <w:bookmarkStart w:id="0" w:name="_GoBack"/>
      <w:bookmarkEnd w:id="0"/>
      <w:r>
        <w:rPr>
          <w:rFonts w:ascii="Century Gothic" w:hAnsi="Century Gothic"/>
          <w:color w:val="000000"/>
          <w:sz w:val="20"/>
          <w:szCs w:val="20"/>
          <w:lang w:val="en-US"/>
        </w:rPr>
        <w:t>epreciation.</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t xml:space="preserve">Legislation allows the owners of any income producing property to claim depreciation deductions for the wear and tear of the building structure and the assets contained within. </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lastRenderedPageBreak/>
        <w:t>“Despite the huge windfalls available to investors through depreciation deductions, research suggests that</w:t>
      </w:r>
      <w:smartTag w:uri="mitelunifiedcommunicatorsmarttag/smarttagmodule" w:element="MySmartTag">
        <w:r>
          <w:rPr>
            <w:rFonts w:ascii="Century Gothic" w:hAnsi="Century Gothic"/>
            <w:color w:val="000000"/>
            <w:sz w:val="20"/>
            <w:szCs w:val="20"/>
            <w:lang w:val="en-US"/>
          </w:rPr>
          <w:t xml:space="preserve"> 80</w:t>
        </w:r>
      </w:smartTag>
      <w:r>
        <w:rPr>
          <w:rFonts w:ascii="Century Gothic" w:hAnsi="Century Gothic"/>
          <w:color w:val="000000"/>
          <w:sz w:val="20"/>
          <w:szCs w:val="20"/>
          <w:lang w:val="en-US"/>
        </w:rPr>
        <w:t xml:space="preserve"> per cent of property investors fail to take full advantage of property depreciation,” said </w:t>
      </w:r>
      <w:smartTag w:uri="mitelunifiedcommunicatorsmarttag/smarttagmodule" w:element="MySmartTag">
        <w:r>
          <w:rPr>
            <w:rFonts w:ascii="Century Gothic" w:hAnsi="Century Gothic"/>
            <w:color w:val="000000"/>
            <w:sz w:val="20"/>
            <w:szCs w:val="20"/>
            <w:lang w:val="en-US"/>
          </w:rPr>
          <w:t>Bradley Beer</w:t>
        </w:r>
      </w:smartTag>
      <w:r>
        <w:rPr>
          <w:rFonts w:ascii="Century Gothic" w:hAnsi="Century Gothic"/>
          <w:color w:val="000000"/>
          <w:sz w:val="20"/>
          <w:szCs w:val="20"/>
          <w:lang w:val="en-US"/>
        </w:rPr>
        <w:t>.</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t xml:space="preserve">“Any property investor who doesn’t claim the maximum depreciation deductions available could be missing out on thousands of dollars in tax savings,” concluded </w:t>
      </w:r>
      <w:smartTag w:uri="mitelunifiedcommunicatorsmarttag/smarttagmodule" w:element="MySmartTag">
        <w:r>
          <w:rPr>
            <w:rFonts w:ascii="Century Gothic" w:hAnsi="Century Gothic"/>
            <w:color w:val="000000"/>
            <w:sz w:val="20"/>
            <w:szCs w:val="20"/>
            <w:lang w:val="en-US"/>
          </w:rPr>
          <w:t>Bradley Beer</w:t>
        </w:r>
      </w:smartTag>
      <w:r>
        <w:rPr>
          <w:rFonts w:ascii="Century Gothic" w:hAnsi="Century Gothic"/>
          <w:color w:val="000000"/>
          <w:sz w:val="20"/>
          <w:szCs w:val="20"/>
          <w:lang w:val="en-US"/>
        </w:rPr>
        <w:t>.</w:t>
      </w:r>
    </w:p>
    <w:p>
      <w:pPr>
        <w:spacing w:before="120" w:after="120" w:line="360" w:lineRule="auto"/>
        <w:rPr>
          <w:rFonts w:ascii="Century Gothic" w:hAnsi="Century Gothic"/>
          <w:color w:val="000000"/>
          <w:sz w:val="20"/>
          <w:szCs w:val="20"/>
          <w:lang w:val="en-US"/>
        </w:rPr>
      </w:pPr>
      <w:r>
        <w:rPr>
          <w:rFonts w:ascii="Century Gothic" w:hAnsi="Century Gothic"/>
          <w:color w:val="000000"/>
          <w:sz w:val="20"/>
          <w:szCs w:val="20"/>
          <w:lang w:val="en-US"/>
        </w:rPr>
        <w:t xml:space="preserve">The apartments on </w:t>
      </w:r>
      <w:r>
        <w:rPr>
          <w:rFonts w:ascii="Century Gothic" w:hAnsi="Century Gothic"/>
          <w:i/>
          <w:color w:val="000000"/>
          <w:sz w:val="20"/>
          <w:szCs w:val="20"/>
          <w:lang w:val="en-US"/>
        </w:rPr>
        <w:t xml:space="preserve">The Block: </w:t>
      </w:r>
      <w:proofErr w:type="spellStart"/>
      <w:r>
        <w:rPr>
          <w:rFonts w:ascii="Century Gothic" w:hAnsi="Century Gothic"/>
          <w:i/>
          <w:color w:val="000000"/>
          <w:sz w:val="20"/>
          <w:szCs w:val="20"/>
          <w:lang w:val="en-US"/>
        </w:rPr>
        <w:t>Blocktagon</w:t>
      </w:r>
      <w:proofErr w:type="spellEnd"/>
      <w:r>
        <w:rPr>
          <w:rFonts w:ascii="Century Gothic" w:hAnsi="Century Gothic"/>
          <w:color w:val="000000"/>
          <w:sz w:val="20"/>
          <w:szCs w:val="20"/>
          <w:lang w:val="en-US"/>
        </w:rPr>
        <w:t xml:space="preserve"> will go to auction this weekend on Saturday</w:t>
      </w:r>
      <w:smartTag w:uri="mitelunifiedcommunicatorsmarttag/smarttagmodule" w:element="MySmartTag">
        <w:r>
          <w:rPr>
            <w:rFonts w:ascii="Century Gothic" w:hAnsi="Century Gothic"/>
            <w:color w:val="000000"/>
            <w:sz w:val="20"/>
            <w:szCs w:val="20"/>
            <w:lang w:val="en-US"/>
          </w:rPr>
          <w:t xml:space="preserve"> 21</w:t>
        </w:r>
      </w:smartTag>
      <w:r>
        <w:rPr>
          <w:rFonts w:ascii="Century Gothic" w:hAnsi="Century Gothic"/>
          <w:color w:val="000000"/>
          <w:sz w:val="20"/>
          <w:szCs w:val="20"/>
          <w:lang w:val="en-US"/>
        </w:rPr>
        <w:t xml:space="preserve"> November.</w:t>
      </w:r>
    </w:p>
    <w:p>
      <w:pPr>
        <w:spacing w:beforeLines="120" w:before="288" w:afterLines="120" w:after="288" w:line="360" w:lineRule="auto"/>
        <w:rPr>
          <w:rFonts w:ascii="Century Gothic" w:hAnsi="Century Gothic"/>
          <w:b/>
          <w:bCs/>
        </w:rPr>
      </w:pPr>
      <w:r>
        <w:rPr>
          <w:rFonts w:ascii="Century Gothic" w:hAnsi="Century Gothic"/>
          <w:b/>
          <w:bCs/>
        </w:rPr>
        <w:t>*ENDS*</w:t>
      </w:r>
    </w:p>
    <w:p>
      <w:pPr>
        <w:spacing w:beforeLines="120" w:before="288" w:afterLines="120" w:after="288" w:line="360" w:lineRule="auto"/>
        <w:rPr>
          <w:rStyle w:val="Hyperlink"/>
          <w:rFonts w:ascii="Century Gothic" w:hAnsi="Century Gothic"/>
          <w:b/>
          <w:color w:val="000000" w:themeColor="text1"/>
        </w:rPr>
      </w:pPr>
      <w:r>
        <w:rPr>
          <w:rFonts w:ascii="Century Gothic" w:hAnsi="Century Gothic"/>
          <w:b/>
        </w:rPr>
        <w:t>Media contact:</w:t>
      </w:r>
      <w:r>
        <w:rPr>
          <w:rFonts w:ascii="Century Gothic" w:hAnsi="Century Gothic"/>
        </w:rPr>
        <w:t xml:space="preserve"> Brad Beer, 0413 271 777, </w:t>
      </w:r>
      <w:hyperlink r:id="rId8" w:history="1">
        <w:r>
          <w:rPr>
            <w:rStyle w:val="Hyperlink"/>
            <w:rFonts w:ascii="Century Gothic" w:hAnsi="Century Gothic"/>
          </w:rPr>
          <w:t>brad.beer@bmtnews.com.au</w:t>
        </w:r>
      </w:hyperlink>
      <w:r>
        <w:rPr>
          <w:rFonts w:ascii="Century Gothic" w:hAnsi="Century Gothic"/>
        </w:rPr>
        <w:br/>
      </w:r>
      <w:r>
        <w:rPr>
          <w:rStyle w:val="Hyperlink"/>
          <w:rFonts w:ascii="Century Gothic" w:hAnsi="Century Gothic"/>
          <w:b/>
          <w:color w:val="000000" w:themeColor="text1"/>
        </w:rPr>
        <w:br/>
        <w:t>About BMT Tax Depreciation</w:t>
      </w:r>
    </w:p>
    <w:p>
      <w:pPr>
        <w:spacing w:line="360" w:lineRule="auto"/>
        <w:jc w:val="both"/>
        <w:rPr>
          <w:rFonts w:ascii="Century Gothic" w:hAnsi="Century Gothic"/>
          <w:sz w:val="20"/>
          <w:szCs w:val="20"/>
        </w:rPr>
      </w:pPr>
      <w:r>
        <w:rPr>
          <w:rStyle w:val="Hyperlink"/>
          <w:rFonts w:ascii="Century Gothic" w:hAnsi="Century Gothic"/>
          <w:color w:val="000000" w:themeColor="text1"/>
          <w:sz w:val="20"/>
          <w:szCs w:val="20"/>
        </w:rPr>
        <w:t xml:space="preserve">BMT </w:t>
      </w:r>
      <w:r>
        <w:rPr>
          <w:rFonts w:ascii="Century Gothic" w:hAnsi="Century Gothic"/>
          <w:sz w:val="20"/>
          <w:szCs w:val="20"/>
        </w:rPr>
        <w:t xml:space="preserve">Tax Depreciation (BMT) </w:t>
      </w:r>
      <w:r>
        <w:rPr>
          <w:rStyle w:val="Hyperlink"/>
          <w:rFonts w:ascii="Century Gothic" w:hAnsi="Century Gothic"/>
          <w:color w:val="000000" w:themeColor="text1"/>
          <w:sz w:val="20"/>
          <w:szCs w:val="20"/>
        </w:rPr>
        <w:t>is a Quantity Surveying company specialising in the provision of tax depreciation schedules for residential and commercial investment properties. Commencing business in 1997</w:t>
      </w:r>
      <w:r>
        <w:rPr>
          <w:rFonts w:ascii="Century Gothic" w:hAnsi="Century Gothic"/>
          <w:sz w:val="20"/>
          <w:szCs w:val="20"/>
        </w:rPr>
        <w:t>, demand from property investors nationally has seen business expand Australia-wide with offices now located in Sydney, Parramatta, Melbourne, Brisbane, Newcastle, Adelaide, Perth, Gold Coast, Cairns, Canberra, Hobart and Darwin.</w:t>
      </w:r>
    </w:p>
    <w:sectPr>
      <w:headerReference w:type="default" r:id="rId9"/>
      <w:footerReference w:type="default" r:id="rId10"/>
      <w:pgSz w:w="12240" w:h="15840"/>
      <w:pgMar w:top="0" w:right="1183" w:bottom="709" w:left="1134" w:header="708" w:footer="1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vantGard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ind w:right="-142"/>
      <w:jc w:val="right"/>
      <w:rPr>
        <w:noProof/>
        <w:lang w:eastAsia="en-AU"/>
      </w:rPr>
    </w:pPr>
  </w:p>
  <w:p>
    <w:pPr>
      <w:ind w:right="-142"/>
      <w:jc w:val="right"/>
      <w:rPr>
        <w:noProof/>
        <w:lang w:eastAsia="en-AU"/>
      </w:rPr>
    </w:pPr>
    <w:r>
      <w:rPr>
        <w:noProof/>
        <w:lang w:eastAsia="en-AU"/>
      </w:rPr>
      <w:drawing>
        <wp:inline distT="0" distB="0" distL="0" distR="0">
          <wp:extent cx="6293796" cy="125486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Letterhead Image.jpg"/>
                  <pic:cNvPicPr/>
                </pic:nvPicPr>
                <pic:blipFill rotWithShape="1">
                  <a:blip r:embed="rId1">
                    <a:extLst>
                      <a:ext uri="{28A0092B-C50C-407E-A947-70E740481C1C}">
                        <a14:useLocalDpi xmlns:a14="http://schemas.microsoft.com/office/drawing/2010/main" val="0"/>
                      </a:ext>
                    </a:extLst>
                  </a:blip>
                  <a:srcRect t="16216" b="14046"/>
                  <a:stretch/>
                </pic:blipFill>
                <pic:spPr bwMode="auto">
                  <a:xfrm>
                    <a:off x="0" y="0"/>
                    <a:ext cx="6301105" cy="12563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t xml:space="preserve"> </w:t>
    </w:r>
    <w:r>
      <w:rPr>
        <w:noProof/>
        <w:lang w:eastAsia="en-AU"/>
      </w:rPr>
      <mc:AlternateContent>
        <mc:Choice Requires="wps">
          <w:drawing>
            <wp:anchor distT="4294967295" distB="4294967295" distL="114300" distR="114300" simplePos="0" relativeHeight="251659264" behindDoc="0" locked="0" layoutInCell="1" allowOverlap="1">
              <wp:simplePos x="0" y="0"/>
              <wp:positionH relativeFrom="column">
                <wp:posOffset>-73660</wp:posOffset>
              </wp:positionH>
              <wp:positionV relativeFrom="paragraph">
                <wp:posOffset>-50166</wp:posOffset>
              </wp:positionV>
              <wp:extent cx="6412865" cy="0"/>
              <wp:effectExtent l="0" t="19050" r="698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2865"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pt,-3.95pt" to="499.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" strokecolor="#1f497d [3215]" strokeweight="2.25pt">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tabs>
        <w:tab w:val="clear" w:pos="4320"/>
        <w:tab w:val="clear" w:pos="8640"/>
      </w:tabs>
      <w:jc w:val="center"/>
    </w:pPr>
    <w:r>
      <w:rPr>
        <w:noProof/>
        <w:lang w:eastAsia="en-AU"/>
      </w:rPr>
      <w:drawing>
        <wp:inline distT="0" distB="0" distL="0" distR="0">
          <wp:extent cx="2660400" cy="723600"/>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MT Tax Depreciation.jpg"/>
                  <pic:cNvPicPr/>
                </pic:nvPicPr>
                <pic:blipFill rotWithShape="1">
                  <a:blip r:embed="rId1">
                    <a:extLst>
                      <a:ext uri="{28A0092B-C50C-407E-A947-70E740481C1C}">
                        <a14:useLocalDpi xmlns:a14="http://schemas.microsoft.com/office/drawing/2010/main" val="0"/>
                      </a:ext>
                    </a:extLst>
                  </a:blip>
                  <a:srcRect l="6697" r="4910"/>
                  <a:stretch/>
                </pic:blipFill>
                <pic:spPr bwMode="auto">
                  <a:xfrm>
                    <a:off x="0" y="0"/>
                    <a:ext cx="2660400" cy="72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mitelunifiedcommunicatorsmarttag/smarttagmodule" w:name="MySmartTag"/>
  <w:shapeDefaults>
    <o:shapedefaults v:ext="edit" spidmax="47105"/>
    <o:shapelayout v:ext="edit">
      <o:idmap v:ext="edit" data="1"/>
    </o:shapelayout>
  </w:shapeDefaults>
  <w:decimalSymbol w:val="."/>
  <w:listSeparator w:val=","/>
  <w15:docId w15:val="{F6F982C4-E3C7-4923-A800-FA53C3FB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lang w:val="en-AU"/>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lang w:val="en-AU"/>
    </w:rPr>
  </w:style>
  <w:style w:type="character" w:styleId="Emphasis">
    <w:name w:val="Emphasis"/>
    <w:basedOn w:val="DefaultParagraphFont"/>
    <w:uiPriority w:val="20"/>
    <w:qFormat/>
    <w:locked/>
    <w:rPr>
      <w:b/>
      <w:bCs/>
      <w:i w:val="0"/>
      <w:iCs w:val="0"/>
    </w:rPr>
  </w:style>
  <w:style w:type="paragraph" w:styleId="PlainText">
    <w:name w:val="Plain Text"/>
    <w:basedOn w:val="Normal"/>
    <w:link w:val="PlainTextChar"/>
    <w:uiPriority w:val="99"/>
    <w:unhideWhenUsed/>
    <w:pPr>
      <w:spacing w:before="0" w:after="0"/>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Pr>
      <w:rFonts w:ascii="Consolas" w:eastAsiaTheme="minorHAnsi" w:hAnsi="Consolas" w:cs="Consolas"/>
      <w:sz w:val="21"/>
      <w:szCs w:val="21"/>
      <w:lang w:val="en-AU"/>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en-AU"/>
    </w:rPr>
  </w:style>
  <w:style w:type="character" w:styleId="Hyperlink">
    <w:name w:val="Hyperlink"/>
    <w:basedOn w:val="DefaultParagraphFont"/>
    <w:uiPriority w:val="99"/>
    <w:unhideWhenUsed/>
    <w:rPr>
      <w:strike w:val="0"/>
      <w:dstrike w:val="0"/>
      <w:color w:val="00548C"/>
      <w:u w:val="none"/>
      <w:effect w:val="none"/>
    </w:rPr>
  </w:style>
  <w:style w:type="character" w:styleId="Strong">
    <w:name w:val="Strong"/>
    <w:basedOn w:val="DefaultParagraphFont"/>
    <w:uiPriority w:val="22"/>
    <w:qFormat/>
    <w:locked/>
    <w:rPr>
      <w:b/>
      <w:bCs/>
    </w:rPr>
  </w:style>
  <w:style w:type="paragraph" w:styleId="FootnoteText">
    <w:name w:val="footnote text"/>
    <w:basedOn w:val="Normal"/>
    <w:link w:val="FootnoteTextChar"/>
    <w:uiPriority w:val="99"/>
    <w:semiHidden/>
    <w:unhideWhenUsed/>
    <w:pPr>
      <w:spacing w:before="0" w:after="0"/>
    </w:pPr>
    <w:rPr>
      <w:sz w:val="20"/>
      <w:szCs w:val="20"/>
    </w:rPr>
  </w:style>
  <w:style w:type="character" w:customStyle="1" w:styleId="FootnoteTextChar">
    <w:name w:val="Footnote Text Char"/>
    <w:basedOn w:val="DefaultParagraphFont"/>
    <w:link w:val="FootnoteText"/>
    <w:uiPriority w:val="99"/>
    <w:semiHidden/>
    <w:rPr>
      <w:sz w:val="20"/>
      <w:szCs w:val="20"/>
      <w:lang w:val="en-AU"/>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n-AU"/>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AU"/>
    </w:rPr>
  </w:style>
  <w:style w:type="paragraph" w:styleId="ListParagraph">
    <w:name w:val="List Paragraph"/>
    <w:basedOn w:val="Normal"/>
    <w:uiPriority w:val="34"/>
    <w:qFormat/>
    <w:pPr>
      <w:spacing w:before="0" w:after="0"/>
      <w:ind w:left="720"/>
    </w:pPr>
    <w:rPr>
      <w:rFonts w:eastAsiaTheme="minorHAnsi"/>
    </w:rPr>
  </w:style>
  <w:style w:type="paragraph" w:customStyle="1" w:styleId="answer">
    <w:name w:val="answer"/>
    <w:basedOn w:val="Normal"/>
    <w:pPr>
      <w:spacing w:before="100" w:beforeAutospacing="1" w:after="100" w:afterAutospacing="1"/>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70504">
      <w:bodyDiv w:val="1"/>
      <w:marLeft w:val="0"/>
      <w:marRight w:val="0"/>
      <w:marTop w:val="0"/>
      <w:marBottom w:val="0"/>
      <w:divBdr>
        <w:top w:val="none" w:sz="0" w:space="0" w:color="auto"/>
        <w:left w:val="none" w:sz="0" w:space="0" w:color="auto"/>
        <w:bottom w:val="none" w:sz="0" w:space="0" w:color="auto"/>
        <w:right w:val="none" w:sz="0" w:space="0" w:color="auto"/>
      </w:divBdr>
    </w:div>
    <w:div w:id="215052804">
      <w:bodyDiv w:val="1"/>
      <w:marLeft w:val="0"/>
      <w:marRight w:val="0"/>
      <w:marTop w:val="0"/>
      <w:marBottom w:val="0"/>
      <w:divBdr>
        <w:top w:val="none" w:sz="0" w:space="0" w:color="auto"/>
        <w:left w:val="none" w:sz="0" w:space="0" w:color="auto"/>
        <w:bottom w:val="none" w:sz="0" w:space="0" w:color="auto"/>
        <w:right w:val="none" w:sz="0" w:space="0" w:color="auto"/>
      </w:divBdr>
    </w:div>
    <w:div w:id="819270170">
      <w:bodyDiv w:val="1"/>
      <w:marLeft w:val="0"/>
      <w:marRight w:val="0"/>
      <w:marTop w:val="0"/>
      <w:marBottom w:val="0"/>
      <w:divBdr>
        <w:top w:val="none" w:sz="0" w:space="0" w:color="auto"/>
        <w:left w:val="none" w:sz="0" w:space="0" w:color="auto"/>
        <w:bottom w:val="none" w:sz="0" w:space="0" w:color="auto"/>
        <w:right w:val="none" w:sz="0" w:space="0" w:color="auto"/>
      </w:divBdr>
    </w:div>
    <w:div w:id="889148040">
      <w:bodyDiv w:val="1"/>
      <w:marLeft w:val="0"/>
      <w:marRight w:val="0"/>
      <w:marTop w:val="0"/>
      <w:marBottom w:val="0"/>
      <w:divBdr>
        <w:top w:val="none" w:sz="0" w:space="0" w:color="auto"/>
        <w:left w:val="none" w:sz="0" w:space="0" w:color="auto"/>
        <w:bottom w:val="none" w:sz="0" w:space="0" w:color="auto"/>
        <w:right w:val="none" w:sz="0" w:space="0" w:color="auto"/>
      </w:divBdr>
    </w:div>
    <w:div w:id="937755084">
      <w:bodyDiv w:val="1"/>
      <w:marLeft w:val="0"/>
      <w:marRight w:val="0"/>
      <w:marTop w:val="0"/>
      <w:marBottom w:val="0"/>
      <w:divBdr>
        <w:top w:val="none" w:sz="0" w:space="0" w:color="auto"/>
        <w:left w:val="none" w:sz="0" w:space="0" w:color="auto"/>
        <w:bottom w:val="none" w:sz="0" w:space="0" w:color="auto"/>
        <w:right w:val="none" w:sz="0" w:space="0" w:color="auto"/>
      </w:divBdr>
    </w:div>
    <w:div w:id="967859330">
      <w:bodyDiv w:val="1"/>
      <w:marLeft w:val="0"/>
      <w:marRight w:val="0"/>
      <w:marTop w:val="0"/>
      <w:marBottom w:val="0"/>
      <w:divBdr>
        <w:top w:val="none" w:sz="0" w:space="0" w:color="auto"/>
        <w:left w:val="none" w:sz="0" w:space="0" w:color="auto"/>
        <w:bottom w:val="none" w:sz="0" w:space="0" w:color="auto"/>
        <w:right w:val="none" w:sz="0" w:space="0" w:color="auto"/>
      </w:divBdr>
    </w:div>
    <w:div w:id="108830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d.beer@bmtnews.com.au"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C5A2A-E6FF-4639-B909-E2689F34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505</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Rani Bonwick</cp:lastModifiedBy>
  <cp:revision>5</cp:revision>
  <cp:lastPrinted>2014-03-13T22:19:00Z</cp:lastPrinted>
  <dcterms:created xsi:type="dcterms:W3CDTF">2015-11-17T05:16:00Z</dcterms:created>
  <dcterms:modified xsi:type="dcterms:W3CDTF">2015-11-17T05:48:00Z</dcterms:modified>
</cp:coreProperties>
</file>